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A3" w:rsidRPr="00496B38" w:rsidRDefault="00363EA3" w:rsidP="00083E2C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496B38">
        <w:rPr>
          <w:rFonts w:ascii="Times New Roman" w:hAnsi="Times New Roman" w:cs="Times New Roman"/>
          <w:sz w:val="18"/>
          <w:szCs w:val="18"/>
        </w:rPr>
        <w:t xml:space="preserve">Приложение 4 </w:t>
      </w:r>
    </w:p>
    <w:p w:rsidR="00363EA3" w:rsidRPr="00496B38" w:rsidRDefault="00363EA3" w:rsidP="00363E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96B38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363EA3" w:rsidRPr="00496B38" w:rsidRDefault="00363EA3" w:rsidP="00363E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496B38">
        <w:rPr>
          <w:rFonts w:ascii="Times New Roman" w:hAnsi="Times New Roman" w:cs="Times New Roman"/>
          <w:sz w:val="18"/>
          <w:szCs w:val="18"/>
        </w:rPr>
        <w:t>Ковалёвского</w:t>
      </w:r>
      <w:proofErr w:type="spellEnd"/>
      <w:r w:rsidRPr="00496B38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363EA3" w:rsidRPr="00496B38" w:rsidRDefault="00363EA3" w:rsidP="00363E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96B38">
        <w:rPr>
          <w:rFonts w:ascii="Times New Roman" w:hAnsi="Times New Roman" w:cs="Times New Roman"/>
          <w:sz w:val="18"/>
          <w:szCs w:val="18"/>
        </w:rPr>
        <w:t xml:space="preserve"> Лискинского муниципального района </w:t>
      </w:r>
    </w:p>
    <w:p w:rsidR="00363EA3" w:rsidRPr="00496B38" w:rsidRDefault="00363EA3" w:rsidP="00363EA3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496B38">
        <w:rPr>
          <w:rFonts w:ascii="Times New Roman" w:hAnsi="Times New Roman" w:cs="Times New Roman"/>
          <w:sz w:val="18"/>
          <w:szCs w:val="18"/>
        </w:rPr>
        <w:t xml:space="preserve">Воронежской области от </w:t>
      </w:r>
      <w:r w:rsidR="00496B38" w:rsidRPr="00496B38">
        <w:rPr>
          <w:rFonts w:ascii="Times New Roman" w:hAnsi="Times New Roman" w:cs="Times New Roman"/>
          <w:sz w:val="18"/>
          <w:szCs w:val="18"/>
        </w:rPr>
        <w:t>21</w:t>
      </w:r>
      <w:r w:rsidRPr="00496B38">
        <w:rPr>
          <w:rFonts w:ascii="Times New Roman" w:hAnsi="Times New Roman" w:cs="Times New Roman"/>
          <w:sz w:val="18"/>
          <w:szCs w:val="18"/>
        </w:rPr>
        <w:t>.0</w:t>
      </w:r>
      <w:r w:rsidR="00496B38" w:rsidRPr="00496B38">
        <w:rPr>
          <w:rFonts w:ascii="Times New Roman" w:hAnsi="Times New Roman" w:cs="Times New Roman"/>
          <w:sz w:val="18"/>
          <w:szCs w:val="18"/>
        </w:rPr>
        <w:t>8</w:t>
      </w:r>
      <w:r w:rsidRPr="00496B38">
        <w:rPr>
          <w:rFonts w:ascii="Times New Roman" w:hAnsi="Times New Roman" w:cs="Times New Roman"/>
          <w:sz w:val="18"/>
          <w:szCs w:val="18"/>
        </w:rPr>
        <w:t xml:space="preserve">.2024г № </w:t>
      </w:r>
      <w:r w:rsidR="00496B38" w:rsidRPr="00496B38">
        <w:rPr>
          <w:rFonts w:ascii="Times New Roman" w:hAnsi="Times New Roman" w:cs="Times New Roman"/>
          <w:sz w:val="18"/>
          <w:szCs w:val="18"/>
        </w:rPr>
        <w:t>4</w:t>
      </w:r>
      <w:r w:rsidRPr="00496B38">
        <w:rPr>
          <w:rFonts w:ascii="Times New Roman" w:hAnsi="Times New Roman" w:cs="Times New Roman"/>
          <w:sz w:val="18"/>
          <w:szCs w:val="18"/>
        </w:rPr>
        <w:t>0-р</w:t>
      </w:r>
    </w:p>
    <w:p w:rsidR="00363EA3" w:rsidRPr="00496B38" w:rsidRDefault="00363EA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3EA3" w:rsidRPr="00496B38" w:rsidRDefault="00363EA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3EA3" w:rsidRPr="00496B38" w:rsidRDefault="00363EA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3EA3" w:rsidRPr="00496B38" w:rsidRDefault="00363EA3" w:rsidP="0036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8">
        <w:rPr>
          <w:rFonts w:ascii="Times New Roman" w:hAnsi="Times New Roman" w:cs="Times New Roman"/>
          <w:b/>
          <w:caps/>
          <w:sz w:val="24"/>
          <w:szCs w:val="24"/>
        </w:rPr>
        <w:t>ТЕХНОЛОГИЧЕСКАЯ</w:t>
      </w:r>
      <w:r w:rsidRPr="00496B38">
        <w:rPr>
          <w:rFonts w:ascii="Times New Roman" w:hAnsi="Times New Roman" w:cs="Times New Roman"/>
          <w:b/>
          <w:sz w:val="24"/>
          <w:szCs w:val="24"/>
        </w:rPr>
        <w:t xml:space="preserve"> СХЕМА</w:t>
      </w:r>
    </w:p>
    <w:p w:rsidR="00363EA3" w:rsidRPr="00496B38" w:rsidRDefault="00363EA3" w:rsidP="0036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B3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63EA3" w:rsidRPr="00496B38" w:rsidRDefault="00363EA3" w:rsidP="0036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8">
        <w:rPr>
          <w:rFonts w:ascii="Times New Roman" w:hAnsi="Times New Roman" w:cs="Times New Roman"/>
          <w:b/>
          <w:sz w:val="24"/>
          <w:szCs w:val="24"/>
        </w:rPr>
        <w:t>«Предоставление земельного участка, находящегося в муниципальной</w:t>
      </w:r>
    </w:p>
    <w:p w:rsidR="00363EA3" w:rsidRPr="00496B38" w:rsidRDefault="00363EA3" w:rsidP="0036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8">
        <w:rPr>
          <w:rFonts w:ascii="Times New Roman" w:hAnsi="Times New Roman" w:cs="Times New Roman"/>
          <w:b/>
          <w:sz w:val="24"/>
          <w:szCs w:val="24"/>
        </w:rPr>
        <w:t>собственности, на торгах»</w:t>
      </w:r>
    </w:p>
    <w:p w:rsidR="00363EA3" w:rsidRPr="00496B38" w:rsidRDefault="00363EA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496B3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918C9" w:rsidRPr="00496B38" w:rsidTr="00033240">
        <w:tc>
          <w:tcPr>
            <w:tcW w:w="959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A918C9" w:rsidRPr="00496B38" w:rsidTr="00033240">
        <w:tc>
          <w:tcPr>
            <w:tcW w:w="959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918C9" w:rsidRPr="00496B38" w:rsidTr="00033240">
        <w:tc>
          <w:tcPr>
            <w:tcW w:w="959" w:type="dxa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083A57" w:rsidRPr="00496B38" w:rsidRDefault="00083A57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96B38" w:rsidRDefault="00363EA3" w:rsidP="0063416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34167" w:rsidRPr="00496B38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A918C9" w:rsidRPr="00496B38" w:rsidTr="00033240">
        <w:tc>
          <w:tcPr>
            <w:tcW w:w="959" w:type="dxa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083A57" w:rsidRPr="00496B38" w:rsidRDefault="00083A57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="00E752C6" w:rsidRPr="00496B3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</w:tcPr>
          <w:p w:rsidR="00083A57" w:rsidRPr="00496B38" w:rsidRDefault="00363EA3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3640100010000831167</w:t>
            </w:r>
          </w:p>
        </w:tc>
      </w:tr>
      <w:tr w:rsidR="00A918C9" w:rsidRPr="00496B38" w:rsidTr="00033240">
        <w:tc>
          <w:tcPr>
            <w:tcW w:w="959" w:type="dxa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083A57" w:rsidRPr="00496B38" w:rsidRDefault="00083A57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96B38" w:rsidRDefault="00461BEF" w:rsidP="00363EA3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</w:t>
            </w:r>
            <w:r w:rsidR="00363EA3" w:rsidRPr="00496B38">
              <w:rPr>
                <w:sz w:val="20"/>
                <w:szCs w:val="20"/>
              </w:rPr>
              <w:t>,</w:t>
            </w:r>
            <w:r w:rsidRPr="00496B38">
              <w:rPr>
                <w:sz w:val="20"/>
                <w:szCs w:val="20"/>
              </w:rPr>
              <w:t xml:space="preserve"> на торгах</w:t>
            </w:r>
          </w:p>
        </w:tc>
      </w:tr>
      <w:tr w:rsidR="00A918C9" w:rsidRPr="00496B38" w:rsidTr="00033240">
        <w:tc>
          <w:tcPr>
            <w:tcW w:w="959" w:type="dxa"/>
          </w:tcPr>
          <w:p w:rsidR="0069792A" w:rsidRPr="00496B3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496B38" w:rsidRDefault="00363EA3" w:rsidP="00C57CE6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на торгах</w:t>
            </w:r>
          </w:p>
        </w:tc>
      </w:tr>
      <w:tr w:rsidR="00A918C9" w:rsidRPr="00496B38" w:rsidTr="00033240">
        <w:tc>
          <w:tcPr>
            <w:tcW w:w="959" w:type="dxa"/>
          </w:tcPr>
          <w:p w:rsidR="0069792A" w:rsidRPr="00496B3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A918C9" w:rsidRPr="00496B3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</w:tcPr>
          <w:p w:rsidR="0069792A" w:rsidRPr="00496B38" w:rsidRDefault="00363EA3" w:rsidP="00363EA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1"/>
            <w:bookmarkEnd w:id="0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 w:rsidR="00634167" w:rsidRPr="00496B38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от 21.03.2024 № 14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      </w:r>
          </w:p>
        </w:tc>
      </w:tr>
      <w:tr w:rsidR="00A918C9" w:rsidRPr="00496B38" w:rsidTr="00033240">
        <w:tc>
          <w:tcPr>
            <w:tcW w:w="959" w:type="dxa"/>
          </w:tcPr>
          <w:p w:rsidR="0069792A" w:rsidRPr="00496B3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959" w:type="dxa"/>
          </w:tcPr>
          <w:p w:rsidR="0069792A" w:rsidRPr="00496B3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="00A918C9" w:rsidRPr="00496B3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телефонная связь;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083A57" w:rsidRPr="00496B38" w:rsidRDefault="002F25A2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496B38" w:rsidTr="00E728F6">
        <w:tc>
          <w:tcPr>
            <w:tcW w:w="2801" w:type="dxa"/>
            <w:gridSpan w:val="2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918C9" w:rsidRPr="00496B38" w:rsidTr="00E752C6">
        <w:tc>
          <w:tcPr>
            <w:tcW w:w="1525" w:type="dxa"/>
          </w:tcPr>
          <w:p w:rsidR="00E728F6" w:rsidRPr="00496B3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 подаче заявления по месту жительства (месту нахождения </w:t>
            </w:r>
            <w:proofErr w:type="spellStart"/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юр.лица</w:t>
            </w:r>
            <w:proofErr w:type="spellEnd"/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728F6" w:rsidRPr="00496B3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728F6" w:rsidRPr="00496B3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96B3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еквизиты 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 правового акта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, являющего</w:t>
            </w:r>
          </w:p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основанием для взимания платы (гос</w:t>
            </w:r>
            <w:r w:rsidR="007639AB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ударственной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</w:t>
            </w:r>
            <w:r w:rsidR="007639AB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ударственной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18C9" w:rsidRPr="00496B38" w:rsidTr="00E752C6">
        <w:tc>
          <w:tcPr>
            <w:tcW w:w="1525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918C9" w:rsidRPr="00496B38" w:rsidTr="00E728F6">
        <w:tc>
          <w:tcPr>
            <w:tcW w:w="14992" w:type="dxa"/>
            <w:gridSpan w:val="11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33B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33B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33B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33240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74B2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E728F6">
        <w:tc>
          <w:tcPr>
            <w:tcW w:w="1525" w:type="dxa"/>
          </w:tcPr>
          <w:p w:rsidR="00175F1C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F1C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276" w:type="dxa"/>
          </w:tcPr>
          <w:p w:rsidR="00175F1C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F1C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418" w:type="dxa"/>
          </w:tcPr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границы земельного участка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ЗУ)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уточнению;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установлено разрешенное использование или разрешенное использование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целям использования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, указанным в заявлении о проведении аукциона;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отнесен к определенной категории земель;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 на праве постоянного (бессрочного) пользования, безвозмездного пользования,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пожизненного наследуемого владения или аренды;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ЗУ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сервитута или объекта, размещение которого не препятствует использованию такого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его разрешенным использованием;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изъят из оборота, за исключением случаев, в которых в соответствии с федеральным законом изъятые из оборота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могут быть предметом договора аренды;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ограничен</w:t>
            </w:r>
            <w:proofErr w:type="spellEnd"/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обороте, за исключением случая проведения аукциона на право заключения договора аренды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зарезервирован для государственных или муниципальных нужд, за исключением случая проведения аукциона на право заключения договора аренды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 срок, не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ревышающий срока резервирования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10)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для размещения здания или сооружения в соответствии с государственной программой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государственной программой субъекта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или адресной инвестиционной программой;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принято решение о предварительном согласовании его предоставления;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14)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, за исключением случаев, если принято решение об отказе в предварительном согласовании предоставления такого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или решение об отказе в его предоставлении;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 или расположен в границах земель общего пользования, территории общего пользования;</w:t>
            </w:r>
          </w:p>
          <w:p w:rsidR="00175F1C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изъят для государственных или муниципальных нужд, за исключением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, изъятых для государственных или муниципальных нужд в связи с признанием многоквартирного дома, который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 на таком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, аварийным и подлежащим сносу или реконструкции.</w:t>
            </w:r>
          </w:p>
        </w:tc>
        <w:tc>
          <w:tcPr>
            <w:tcW w:w="1032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745AB8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745AB8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745AB8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175F1C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виде электронного документа, который направляется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посредством электронной почты.</w:t>
            </w:r>
          </w:p>
        </w:tc>
      </w:tr>
      <w:tr w:rsidR="00A918C9" w:rsidRPr="00496B38" w:rsidTr="008E5BC8">
        <w:tc>
          <w:tcPr>
            <w:tcW w:w="14992" w:type="dxa"/>
            <w:gridSpan w:val="11"/>
          </w:tcPr>
          <w:p w:rsidR="00175F1C" w:rsidRPr="00496B38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074B2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E728F6">
        <w:tc>
          <w:tcPr>
            <w:tcW w:w="1525" w:type="dxa"/>
          </w:tcPr>
          <w:p w:rsidR="0073240B" w:rsidRPr="00496B38" w:rsidRDefault="007D4464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276" w:type="dxa"/>
          </w:tcPr>
          <w:p w:rsidR="0073240B" w:rsidRPr="00496B38" w:rsidRDefault="007D4464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418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поступление заявки на участие в аукционе, по истечении срока приема заявок.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поступление от одного заявителя более одной заявки на участие в аукционе. </w:t>
            </w:r>
            <w:proofErr w:type="gram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 заявителя</w:t>
            </w:r>
            <w:proofErr w:type="gram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направившего более одной заявки принимается только одна заявка поступившая первой. Остальные заявки не подлежат приему, и возвращается заявителю в день их поступления</w:t>
            </w:r>
          </w:p>
        </w:tc>
        <w:tc>
          <w:tcPr>
            <w:tcW w:w="1700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не поступление задатка на дату рассмотрения заявок на участие в аукционе;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подача заявки на участие в аукционе лицом, которое в соответствии с закон</w:t>
            </w:r>
            <w:r w:rsidR="00E33CE4" w:rsidRPr="00496B3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имеет права быть участником конкретного аукциона, покупателем земельного участка или приобрести земельный участок в аренду</w:t>
            </w:r>
          </w:p>
        </w:tc>
        <w:tc>
          <w:tcPr>
            <w:tcW w:w="1032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</w:tbl>
    <w:p w:rsidR="004E7CAF" w:rsidRPr="00496B38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496B38" w:rsidTr="00B47A97">
        <w:tc>
          <w:tcPr>
            <w:tcW w:w="657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9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E7299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</w:t>
            </w:r>
          </w:p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 заявителя</w:t>
            </w:r>
          </w:p>
        </w:tc>
        <w:tc>
          <w:tcPr>
            <w:tcW w:w="1843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918C9" w:rsidRPr="00496B38" w:rsidTr="00B47A97">
        <w:tc>
          <w:tcPr>
            <w:tcW w:w="657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18C9" w:rsidRPr="00496B38" w:rsidTr="00B47A97">
        <w:tc>
          <w:tcPr>
            <w:tcW w:w="14992" w:type="dxa"/>
            <w:gridSpan w:val="8"/>
          </w:tcPr>
          <w:p w:rsidR="00043FFA" w:rsidRPr="00496B38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FB67B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710B7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496B38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496B38" w:rsidRDefault="00745AB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 кадастровом плане территории, а также обеспечившие выполнение кадастровых работ в целях образования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 государственный кадастровый учет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 заинтересованные в приобретении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ЗУ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 торга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00" w:type="dxa"/>
            <w:vMerge w:val="restart"/>
          </w:tcPr>
          <w:p w:rsidR="003B6302" w:rsidRPr="00496B38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A918C9" w:rsidRPr="00496B38" w:rsidTr="005E25FA">
        <w:trPr>
          <w:trHeight w:val="643"/>
        </w:trPr>
        <w:tc>
          <w:tcPr>
            <w:tcW w:w="657" w:type="dxa"/>
            <w:vMerge/>
          </w:tcPr>
          <w:p w:rsidR="003B6302" w:rsidRPr="00496B38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3B6302" w:rsidRPr="00496B38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выдана от имени заявителя и подписана им самим.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может быть подписана также иным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лицом, действующим по доверенности если эти полномочия предусмотрены основной</w:t>
            </w:r>
            <w:r w:rsidR="004F7F62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доверенностью. 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 w:rsidR="005E25F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</w:t>
            </w:r>
          </w:p>
        </w:tc>
      </w:tr>
      <w:tr w:rsidR="00A918C9" w:rsidRPr="00496B38" w:rsidTr="00B47A97">
        <w:tc>
          <w:tcPr>
            <w:tcW w:w="657" w:type="dxa"/>
            <w:vMerge w:val="restart"/>
          </w:tcPr>
          <w:p w:rsidR="00AD787E" w:rsidRPr="00496B38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самоуправления),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земельного участка на кадастровом плане территории, а также обеспечившие выполнение кадастровых работ в целях образования земельного участка и государственный кадастровый учет </w:t>
            </w:r>
            <w:r w:rsidR="00FB47D5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 заинтересованные в приобретении </w:t>
            </w:r>
            <w:r w:rsidR="00FB47D5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496B38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A918C9" w:rsidRPr="00496B38" w:rsidTr="00B47A97">
        <w:tc>
          <w:tcPr>
            <w:tcW w:w="657" w:type="dxa"/>
            <w:vMerge/>
          </w:tcPr>
          <w:p w:rsidR="00911AE2" w:rsidRPr="00496B38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911AE2" w:rsidRPr="00496B38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11AE2" w:rsidRPr="00496B38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911AE2" w:rsidRPr="00496B38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496B38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1AE2" w:rsidRPr="00496B38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11AE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656535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выдается за подписью руководителя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доверенности. 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выдачи).</w:t>
            </w:r>
          </w:p>
        </w:tc>
      </w:tr>
      <w:tr w:rsidR="00A918C9" w:rsidRPr="00496B38" w:rsidTr="00B47A97">
        <w:tc>
          <w:tcPr>
            <w:tcW w:w="14992" w:type="dxa"/>
            <w:gridSpan w:val="8"/>
          </w:tcPr>
          <w:p w:rsidR="001710B7" w:rsidRPr="00496B38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B47A97">
        <w:trPr>
          <w:trHeight w:val="643"/>
        </w:trPr>
        <w:tc>
          <w:tcPr>
            <w:tcW w:w="657" w:type="dxa"/>
            <w:vMerge w:val="restart"/>
          </w:tcPr>
          <w:p w:rsidR="008E5BC8" w:rsidRPr="00496B38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496B38" w:rsidRDefault="00745AB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физические  лица заинтересованные в приобретении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496B38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содержать </w:t>
            </w:r>
            <w:proofErr w:type="gram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подчисток,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приписок</w:t>
            </w:r>
            <w:proofErr w:type="gram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которых не позволяет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A918C9" w:rsidRPr="00496B38" w:rsidTr="00B47A97">
        <w:trPr>
          <w:trHeight w:val="1494"/>
        </w:trPr>
        <w:tc>
          <w:tcPr>
            <w:tcW w:w="657" w:type="dxa"/>
            <w:vMerge/>
          </w:tcPr>
          <w:p w:rsidR="008E5BC8" w:rsidRPr="00496B38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8E5BC8" w:rsidRPr="00496B38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выдана от имени заявителя и подписана им самим.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может быть подписана также иным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лицом, действующим по доверенности если эти полномочия предусмотрены основной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доверенностью. 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</w:t>
            </w:r>
          </w:p>
        </w:tc>
      </w:tr>
      <w:tr w:rsidR="00A918C9" w:rsidRPr="00496B38" w:rsidTr="00B47A97">
        <w:tc>
          <w:tcPr>
            <w:tcW w:w="657" w:type="dxa"/>
            <w:vMerge w:val="restart"/>
          </w:tcPr>
          <w:p w:rsidR="001865FA" w:rsidRPr="00496B38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</w:t>
            </w:r>
          </w:p>
        </w:tc>
        <w:tc>
          <w:tcPr>
            <w:tcW w:w="2100" w:type="dxa"/>
          </w:tcPr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право лица без доверенности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действовать от имени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юридического лица (копия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или его избрании)</w:t>
            </w:r>
          </w:p>
        </w:tc>
        <w:tc>
          <w:tcPr>
            <w:tcW w:w="2272" w:type="dxa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лица или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его избрании должна быть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заверена юридическим лицом,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содержать подпись должностного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лица, подготовившего документ,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дату составления документа;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информацию о праве физического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лица действовать от имени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8E5BC8" w:rsidRPr="00496B38" w:rsidTr="00B47A97">
        <w:tc>
          <w:tcPr>
            <w:tcW w:w="657" w:type="dxa"/>
            <w:vMerge/>
          </w:tcPr>
          <w:p w:rsidR="008E5BC8" w:rsidRPr="00496B38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E5BC8" w:rsidRPr="00496B38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</w:p>
          <w:p w:rsidR="008E5BC8" w:rsidRPr="00496B38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приписок, зачеркнутых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и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выдается за подписью руководителя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доверенности. 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действующей на момент обращения (при этом необходимо иметь в виду, что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выдачи).</w:t>
            </w:r>
          </w:p>
        </w:tc>
      </w:tr>
    </w:tbl>
    <w:p w:rsidR="00883DB0" w:rsidRPr="00496B3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FFA" w:rsidRPr="00496B38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496B38" w:rsidTr="00033240">
        <w:tc>
          <w:tcPr>
            <w:tcW w:w="651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</w:t>
            </w:r>
            <w:r w:rsidR="00043FF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043FF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043FF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43FFA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496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496B3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043FFA" w:rsidRPr="00496B38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  <w:r w:rsidR="00A918C9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094FA6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A918C9" w:rsidRPr="00496B38" w:rsidTr="00033240">
        <w:tc>
          <w:tcPr>
            <w:tcW w:w="651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18C9" w:rsidRPr="00496B38" w:rsidTr="00033240">
        <w:tc>
          <w:tcPr>
            <w:tcW w:w="15133" w:type="dxa"/>
            <w:gridSpan w:val="8"/>
          </w:tcPr>
          <w:p w:rsidR="00043FFA" w:rsidRPr="00496B3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651" w:type="dxa"/>
          </w:tcPr>
          <w:p w:rsidR="00043FFA" w:rsidRPr="00496B38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043FFA" w:rsidRPr="00496B38" w:rsidRDefault="00FB47D5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заполняется в установленной форме. </w:t>
            </w:r>
            <w:r w:rsidR="00D9199C" w:rsidRPr="00496B38">
              <w:rPr>
                <w:rFonts w:ascii="Times New Roman" w:hAnsi="Times New Roman" w:cs="Times New Roman"/>
                <w:sz w:val="20"/>
                <w:szCs w:val="20"/>
              </w:rPr>
              <w:t>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918C9" w:rsidRPr="00496B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496B38" w:rsidRDefault="00043FFA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5133" w:type="dxa"/>
            <w:gridSpan w:val="8"/>
          </w:tcPr>
          <w:p w:rsidR="003533BF" w:rsidRPr="00496B3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5E25FA">
        <w:tc>
          <w:tcPr>
            <w:tcW w:w="651" w:type="dxa"/>
          </w:tcPr>
          <w:p w:rsidR="00A918C9" w:rsidRPr="00496B38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участие в аукционе</w:t>
            </w:r>
          </w:p>
        </w:tc>
        <w:tc>
          <w:tcPr>
            <w:tcW w:w="1842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 подается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843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9B277B" w:rsidRPr="0049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5E25FA">
        <w:tc>
          <w:tcPr>
            <w:tcW w:w="651" w:type="dxa"/>
          </w:tcPr>
          <w:p w:rsidR="00A918C9" w:rsidRPr="00496B38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государственной регистрации юридического лица в соответствии с законодательством иностранного государства в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</w:t>
            </w:r>
          </w:p>
        </w:tc>
        <w:tc>
          <w:tcPr>
            <w:tcW w:w="1842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надлежащим образом заверенный перевод на русский язык</w:t>
            </w:r>
          </w:p>
        </w:tc>
        <w:tc>
          <w:tcPr>
            <w:tcW w:w="2268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заявителем является иностранное юридическое лицо</w:t>
            </w:r>
          </w:p>
        </w:tc>
        <w:tc>
          <w:tcPr>
            <w:tcW w:w="2693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A918C9" w:rsidRPr="00496B38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496B38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A918C9" w:rsidRPr="00496B38" w:rsidTr="005E25FA">
        <w:tc>
          <w:tcPr>
            <w:tcW w:w="651" w:type="dxa"/>
          </w:tcPr>
          <w:p w:rsidR="00A918C9" w:rsidRPr="00496B38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2551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842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2268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A918C9" w:rsidRPr="00496B38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A918C9" w:rsidRPr="00496B38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:rsidR="00D31907" w:rsidRPr="00496B38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496B38" w:rsidTr="00033240">
        <w:tc>
          <w:tcPr>
            <w:tcW w:w="1242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18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538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A918C9" w:rsidRPr="00496B38" w:rsidTr="00033240">
        <w:tc>
          <w:tcPr>
            <w:tcW w:w="1242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918C9" w:rsidRPr="00496B38" w:rsidTr="00033240">
        <w:tc>
          <w:tcPr>
            <w:tcW w:w="15112" w:type="dxa"/>
            <w:gridSpan w:val="9"/>
          </w:tcPr>
          <w:p w:rsidR="00D31907" w:rsidRPr="00496B3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1242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объекта.</w:t>
            </w:r>
          </w:p>
        </w:tc>
        <w:tc>
          <w:tcPr>
            <w:tcW w:w="1843" w:type="dxa"/>
          </w:tcPr>
          <w:p w:rsidR="003130F0" w:rsidRPr="00496B38" w:rsidRDefault="003C6C75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Филиал 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242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Выписка из Единого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реестра прав на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 сделок с ним (далее –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ЕГРП) о правах на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земельный участок или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уведомление об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отсутствии в ЕГРП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сведений о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правах на земельный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участок.</w:t>
            </w:r>
          </w:p>
        </w:tc>
        <w:tc>
          <w:tcPr>
            <w:tcW w:w="2126" w:type="dxa"/>
          </w:tcPr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</w:tcPr>
          <w:p w:rsidR="003130F0" w:rsidRPr="00496B38" w:rsidRDefault="003C6C75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242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130F0" w:rsidRPr="00496B38" w:rsidRDefault="003C6C75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5112" w:type="dxa"/>
            <w:gridSpan w:val="9"/>
          </w:tcPr>
          <w:p w:rsidR="003130F0" w:rsidRPr="00496B38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1242" w:type="dxa"/>
          </w:tcPr>
          <w:p w:rsidR="003130F0" w:rsidRPr="00496B38" w:rsidRDefault="003130F0" w:rsidP="00F62AA8">
            <w:pPr>
              <w:ind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130F0" w:rsidRPr="00496B38" w:rsidRDefault="003C6C75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3130F0" w:rsidRPr="00496B38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496B38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496B38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496B38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496B38" w:rsidTr="00033240">
        <w:tc>
          <w:tcPr>
            <w:tcW w:w="534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том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Требования к документу/документам, являю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щ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емуся (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имся</w:t>
            </w:r>
            <w:proofErr w:type="spellEnd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B2B9C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Характеристика результата (поло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жительный/</w:t>
            </w:r>
          </w:p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Форма документа/ документов, 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являющ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егося (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«подуслуги»</w:t>
            </w:r>
            <w:r w:rsidR="004B2B9C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 документа/ докумен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тов, являющ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егося (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«подуслуги»</w:t>
            </w:r>
            <w:r w:rsidR="004B2B9C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получения результата</w:t>
            </w:r>
          </w:p>
          <w:p w:rsidR="00F62AA8" w:rsidRPr="00496B3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хранения невостребованных заявителем резуль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татов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«подуслуги»</w:t>
            </w:r>
            <w:r w:rsidR="004B2B9C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A918C9" w:rsidRPr="00496B38" w:rsidTr="00033240">
        <w:tc>
          <w:tcPr>
            <w:tcW w:w="534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A918C9" w:rsidRPr="00496B38" w:rsidTr="00033240">
        <w:tc>
          <w:tcPr>
            <w:tcW w:w="534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918C9" w:rsidRPr="00496B38" w:rsidTr="00033240">
        <w:tc>
          <w:tcPr>
            <w:tcW w:w="15113" w:type="dxa"/>
            <w:gridSpan w:val="9"/>
          </w:tcPr>
          <w:p w:rsidR="004F2A4B" w:rsidRPr="00496B3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534" w:type="dxa"/>
          </w:tcPr>
          <w:p w:rsidR="00A918C9" w:rsidRPr="00496B38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18C9" w:rsidRPr="00496B38" w:rsidRDefault="00A918C9" w:rsidP="00F62AA8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принятие решения об отказе в проведении аукциона</w:t>
            </w:r>
          </w:p>
        </w:tc>
        <w:tc>
          <w:tcPr>
            <w:tcW w:w="2273" w:type="dxa"/>
          </w:tcPr>
          <w:p w:rsidR="00A918C9" w:rsidRPr="00496B38" w:rsidRDefault="00A918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A918C9" w:rsidRPr="00496B38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496B38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A918C9" w:rsidRPr="00496B38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A918C9" w:rsidRPr="00496B38" w:rsidRDefault="00A918C9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A918C9" w:rsidRPr="00496B38" w:rsidRDefault="00A918C9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B9C" w:rsidRPr="00496B38" w:rsidTr="00033240">
        <w:tc>
          <w:tcPr>
            <w:tcW w:w="534" w:type="dxa"/>
          </w:tcPr>
          <w:p w:rsidR="004B2B9C" w:rsidRPr="00496B38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2B9C" w:rsidRPr="00496B38" w:rsidRDefault="004B2B9C" w:rsidP="00F62AA8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оформление и направление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Pr="00496B38" w:rsidRDefault="004B2B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4B2B9C" w:rsidRPr="00496B38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B2B9C" w:rsidRPr="00496B38" w:rsidRDefault="004B2B9C" w:rsidP="00363EA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4B2B9C" w:rsidRPr="00496B38" w:rsidRDefault="004B2B9C" w:rsidP="00363EA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4B2B9C" w:rsidRPr="00496B38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B2B9C" w:rsidRPr="00496B38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5113" w:type="dxa"/>
            <w:gridSpan w:val="9"/>
          </w:tcPr>
          <w:p w:rsidR="00A918C9" w:rsidRPr="00496B38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B2B9C" w:rsidRPr="00496B38" w:rsidTr="00033240">
        <w:tc>
          <w:tcPr>
            <w:tcW w:w="534" w:type="dxa"/>
          </w:tcPr>
          <w:p w:rsidR="004B2B9C" w:rsidRPr="00496B38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2B9C" w:rsidRPr="00496B38" w:rsidRDefault="004B2B9C" w:rsidP="00F62AA8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участка, а в случаях предусмотренных законом направляются также проекта договора о комплексном освоении территории.</w:t>
            </w:r>
          </w:p>
        </w:tc>
        <w:tc>
          <w:tcPr>
            <w:tcW w:w="2273" w:type="dxa"/>
          </w:tcPr>
          <w:p w:rsidR="004B2B9C" w:rsidRPr="00496B38" w:rsidRDefault="004B2B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4B2B9C" w:rsidRPr="00496B38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B2B9C" w:rsidRPr="00496B38" w:rsidRDefault="004B2B9C" w:rsidP="00363EA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4B2B9C" w:rsidRPr="00496B38" w:rsidRDefault="004B2B9C" w:rsidP="00363EA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4B2B9C" w:rsidRPr="00496B38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B2B9C" w:rsidRPr="00496B38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585" w:rsidRPr="00496B38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496B38" w:rsidTr="00033240">
        <w:tc>
          <w:tcPr>
            <w:tcW w:w="641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са)</w:t>
            </w:r>
          </w:p>
        </w:tc>
        <w:tc>
          <w:tcPr>
            <w:tcW w:w="2126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дуры процесса</w:t>
            </w:r>
            <w:r w:rsidR="00852C2C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2126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Формы документов, необходимые для вы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полнения процедуры процесса</w:t>
            </w:r>
            <w:r w:rsidR="004B2B9C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A918C9" w:rsidRPr="00496B38" w:rsidTr="00033240">
        <w:tc>
          <w:tcPr>
            <w:tcW w:w="641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44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18C9" w:rsidRPr="00496B38" w:rsidTr="00033240">
        <w:tc>
          <w:tcPr>
            <w:tcW w:w="14992" w:type="dxa"/>
            <w:gridSpan w:val="7"/>
          </w:tcPr>
          <w:p w:rsidR="00A83585" w:rsidRPr="00496B3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D543C5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E5F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7313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  <w:r w:rsidR="00473136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18C9" w:rsidRPr="00496B38" w:rsidTr="00033240">
        <w:tc>
          <w:tcPr>
            <w:tcW w:w="14992" w:type="dxa"/>
            <w:gridSpan w:val="7"/>
          </w:tcPr>
          <w:p w:rsidR="00E3767E" w:rsidRPr="00496B38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7E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</w:t>
            </w:r>
            <w:r w:rsidR="00D543C5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ие административной процедуры</w:t>
            </w:r>
            <w:r w:rsidR="00E3767E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0630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56D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641" w:type="dxa"/>
          </w:tcPr>
          <w:p w:rsidR="00981663" w:rsidRPr="00496B38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981663" w:rsidRPr="00496B38" w:rsidRDefault="005256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63BCB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осуществляет проверку документов заявителя на предмет и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установленным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требованиям.</w:t>
            </w:r>
          </w:p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63BCB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выдает заявителю расписку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в получении документов с указанием их перечня и даты получения.</w:t>
            </w:r>
          </w:p>
          <w:p w:rsidR="00981663" w:rsidRPr="00496B38" w:rsidRDefault="0073059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заявителя за предоставлением муниципальной услуги через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</w:t>
            </w:r>
            <w:r w:rsidR="001A3EE8" w:rsidRPr="00496B38">
              <w:rPr>
                <w:rFonts w:ascii="Times New Roman" w:hAnsi="Times New Roman" w:cs="Times New Roman"/>
                <w:sz w:val="20"/>
                <w:szCs w:val="20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496B38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496B38" w:rsidRDefault="00D543C5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</w:t>
            </w:r>
            <w:r w:rsidR="009717FA" w:rsidRPr="00496B38">
              <w:rPr>
                <w:rFonts w:ascii="Times New Roman" w:hAnsi="Times New Roman" w:cs="Times New Roman"/>
                <w:sz w:val="20"/>
                <w:szCs w:val="20"/>
              </w:rPr>
              <w:t>и и МФЦ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Pr="00496B38" w:rsidRDefault="004B2B9C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документационное и технологическое обеспечение.</w:t>
            </w:r>
          </w:p>
          <w:p w:rsidR="00981663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Форма заявления</w:t>
            </w:r>
            <w:r w:rsidR="004B2B9C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034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Форма расписки</w:t>
            </w:r>
            <w:r w:rsidR="004B2B9C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81663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B2B9C" w:rsidRPr="00496B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6034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363BCB" w:rsidRPr="00496B38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или отсутствия оснований </w:t>
            </w:r>
            <w:r w:rsidR="00730596" w:rsidRPr="00496B38">
              <w:rPr>
                <w:rFonts w:ascii="Times New Roman" w:hAnsi="Times New Roman" w:cs="Times New Roman"/>
                <w:sz w:val="20"/>
                <w:szCs w:val="20"/>
              </w:rPr>
              <w:t>для отказа в предоставлении услуги</w:t>
            </w:r>
          </w:p>
        </w:tc>
        <w:tc>
          <w:tcPr>
            <w:tcW w:w="3260" w:type="dxa"/>
          </w:tcPr>
          <w:p w:rsidR="00730596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63BCB" w:rsidRPr="00496B38" w:rsidRDefault="0073059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проверяет наличие или отсутствие оснований, по которым земельный участок не мо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ет быть предметом аукциона и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для отказа в предоставлении услуги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11D8" w:rsidRPr="00496B38" w:rsidRDefault="0073059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ри наличии оснований, по которым земельный участок не может быть предметом аукциона и </w:t>
            </w:r>
            <w:r w:rsidR="004A11D8" w:rsidRPr="00496B38">
              <w:rPr>
                <w:rFonts w:ascii="Times New Roman" w:hAnsi="Times New Roman" w:cs="Times New Roman"/>
                <w:sz w:val="20"/>
                <w:szCs w:val="20"/>
              </w:rPr>
              <w:t>иных оснований для отказа в предоставлении услуги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подготавливает проект решения о</w:t>
            </w:r>
            <w:r w:rsidR="004A11D8" w:rsidRPr="00496B38">
              <w:rPr>
                <w:rFonts w:ascii="Times New Roman" w:hAnsi="Times New Roman" w:cs="Times New Roman"/>
                <w:sz w:val="20"/>
                <w:szCs w:val="20"/>
              </w:rPr>
              <w:t>б отказе в проведении аукциона</w:t>
            </w:r>
          </w:p>
          <w:p w:rsidR="00363BCB" w:rsidRPr="00496B38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редает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 подписание главе администрации. </w:t>
            </w:r>
          </w:p>
          <w:p w:rsidR="00363BCB" w:rsidRPr="00496B38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ешение об отказе в проведении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аукциона выдается (направляется) заявителю </w:t>
            </w:r>
            <w:r w:rsidR="001A3EE8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способом, указанным в заявлении </w:t>
            </w:r>
          </w:p>
          <w:p w:rsidR="00363BCB" w:rsidRPr="00496B38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пр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участок.</w:t>
            </w:r>
          </w:p>
          <w:p w:rsidR="00363BCB" w:rsidRPr="00496B38" w:rsidRDefault="001A3EE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участка,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разграничена.</w:t>
            </w:r>
          </w:p>
          <w:p w:rsidR="00363BCB" w:rsidRPr="00496B38" w:rsidRDefault="001A3EE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- в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следующего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административного действия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63BCB" w:rsidRPr="00496B38" w:rsidRDefault="003351BA" w:rsidP="003351BA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</w:tc>
        <w:tc>
          <w:tcPr>
            <w:tcW w:w="2126" w:type="dxa"/>
          </w:tcPr>
          <w:p w:rsidR="00363BCB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981663" w:rsidRPr="00496B38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981663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за государственной регистрацией права муниципальной собственности на земельный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участок, образованный в соответствии с утвержденной схемой расположения земельного участка,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496B38" w:rsidRDefault="001A3EE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специалист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обеспечивает подготовку документов и обращение в уполномоченный федеральный орган государственной власти для государ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ственной регистрации права муниципальной собственности на такой земельный участок.</w:t>
            </w:r>
          </w:p>
          <w:p w:rsidR="00981663" w:rsidRPr="00496B38" w:rsidRDefault="0098166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1663" w:rsidRPr="00496B38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663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981663" w:rsidRPr="00496B38" w:rsidRDefault="0098166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663" w:rsidRPr="00496B38" w:rsidRDefault="0098166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363BCB" w:rsidRPr="00496B38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496B38" w:rsidRDefault="00AD11F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      </w:r>
          </w:p>
          <w:p w:rsidR="00363BCB" w:rsidRPr="00496B38" w:rsidRDefault="00AD11F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орядок направления запроса, порядок определения и предоставления технических условий,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496B38" w:rsidRDefault="00AD11F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на основании схем 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</w:t>
            </w:r>
            <w:r w:rsidR="002A115A" w:rsidRPr="00496B38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3BCB" w:rsidRPr="00496B38" w:rsidRDefault="0066671E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после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технических условий подключения (технологического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присоединения) объектов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proofErr w:type="gramStart"/>
            <w:r w:rsidR="002461C6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следующего 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proofErr w:type="gramEnd"/>
            <w:r w:rsidR="002461C6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  <w:p w:rsidR="00363BCB" w:rsidRPr="00496B38" w:rsidRDefault="002461C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случае если в соответствии с разрешенным использованием земельного участка не предусматривается возможность строительства зданий, сооружений,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 не требуется</w:t>
            </w:r>
          </w:p>
        </w:tc>
        <w:tc>
          <w:tcPr>
            <w:tcW w:w="1985" w:type="dxa"/>
          </w:tcPr>
          <w:p w:rsidR="00363BCB" w:rsidRPr="00496B38" w:rsidRDefault="00363BCB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363BCB" w:rsidRPr="00496B38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2568F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или отсутствия оснований, </w:t>
            </w:r>
            <w:r w:rsidR="00F2568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 которых земельный участок не может быть предметом аукциона </w:t>
            </w:r>
          </w:p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260" w:type="dxa"/>
          </w:tcPr>
          <w:p w:rsidR="00F2568F" w:rsidRPr="00496B38" w:rsidRDefault="00F37FE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осуществляет проверку наличия или отсутствия оснований,</w:t>
            </w:r>
            <w:r w:rsidR="00F2568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которых земельный участок, находящийся в государственной или муниципальной собственности, не может быть предметом аукциона</w:t>
            </w:r>
          </w:p>
          <w:p w:rsidR="00F37FEF" w:rsidRPr="00496B38" w:rsidRDefault="00F37FE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68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случае выявления наличия </w:t>
            </w:r>
            <w:r w:rsidR="00F2568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таких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оснований специалист подготавливает проект решения об отказе в проведении аукциона, п</w:t>
            </w:r>
            <w:r w:rsidR="00B45AED" w:rsidRPr="00496B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редает его на подписание главе администрации </w:t>
            </w:r>
          </w:p>
          <w:p w:rsidR="00F37FEF" w:rsidRPr="00496B38" w:rsidRDefault="005E378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трех дней со дня принятия решения об отказе в проведении аукциона специалист подготавливает и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извеще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об отказе в проведении аукциона.</w:t>
            </w:r>
          </w:p>
          <w:p w:rsidR="00F37FEF" w:rsidRPr="00496B38" w:rsidRDefault="005E378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указанных  оснований</w:t>
            </w:r>
            <w:proofErr w:type="gram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определяет условия проведения аукциона, подготавливает проект решения о проведении аукциона и предает его на подписание главе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363BCB" w:rsidRPr="00496B38" w:rsidRDefault="009D323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>дновременно с подготовкой решения о проведении аукциона специалист подготавливает извещение о проведении аукциона и проект договора купли-продажи или проект договора аренды земельного участка или проект договора аренды земельного участка для к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363BCB" w:rsidRPr="00496B38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126" w:type="dxa"/>
          </w:tcPr>
          <w:p w:rsidR="00363BCB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363BCB" w:rsidRPr="00496B38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извещения о проведении аукциона на официальном сайте Российской Федерации в информационно-телекоммуникационной сети "Интернет" для размещения </w:t>
            </w:r>
            <w:r w:rsidR="009D323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проведении торгов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и опубликование извещения о проведении аукциона в порядке, установленном уставом </w:t>
            </w:r>
            <w:r w:rsidR="009D323D" w:rsidRPr="00496B3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для официального опубликования (обнародовани</w:t>
            </w:r>
            <w:r w:rsidR="009D323D" w:rsidRPr="00496B38">
              <w:rPr>
                <w:rFonts w:ascii="Times New Roman" w:hAnsi="Times New Roman" w:cs="Times New Roman"/>
                <w:sz w:val="20"/>
                <w:szCs w:val="20"/>
              </w:rPr>
              <w:t>я) муниципальных правовых актов</w:t>
            </w:r>
          </w:p>
        </w:tc>
        <w:tc>
          <w:tcPr>
            <w:tcW w:w="3260" w:type="dxa"/>
          </w:tcPr>
          <w:p w:rsidR="0001072D" w:rsidRPr="00496B38" w:rsidRDefault="009D323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обеспечивает размещение извещения о проведении аукциона на официальном сайте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Обязательным приложением к извещению о проведении аукциона является проект договора купли-продажи или проект договора аренды земельного участка.</w:t>
            </w:r>
          </w:p>
          <w:p w:rsidR="009D323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</w:t>
            </w:r>
            <w:r w:rsidR="009D323D" w:rsidRPr="00496B38">
              <w:rPr>
                <w:rFonts w:ascii="Times New Roman" w:hAnsi="Times New Roman" w:cs="Times New Roman"/>
                <w:sz w:val="20"/>
                <w:szCs w:val="20"/>
              </w:rPr>
              <w:t>омплексном освоении территории.</w:t>
            </w:r>
          </w:p>
          <w:p w:rsidR="00363BCB" w:rsidRPr="00496B38" w:rsidRDefault="009D323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пециалист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</w:tcPr>
          <w:p w:rsidR="00363BCB" w:rsidRPr="00496B38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4992" w:type="dxa"/>
            <w:gridSpan w:val="7"/>
          </w:tcPr>
          <w:p w:rsidR="00E3767E" w:rsidRPr="00496B38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 w:rsidR="003533B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18C9" w:rsidRPr="00496B38" w:rsidTr="00033240">
        <w:tc>
          <w:tcPr>
            <w:tcW w:w="14992" w:type="dxa"/>
            <w:gridSpan w:val="7"/>
          </w:tcPr>
          <w:p w:rsidR="00473136" w:rsidRPr="00496B38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="009717F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641" w:type="dxa"/>
          </w:tcPr>
          <w:p w:rsidR="00A019A3" w:rsidRPr="00496B38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256D8" w:rsidRPr="00496B38" w:rsidRDefault="005256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заявок и прилагаемых документов для участия в аукционе;</w:t>
            </w:r>
          </w:p>
          <w:p w:rsidR="00A019A3" w:rsidRPr="00496B38" w:rsidRDefault="00A019A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072D" w:rsidRPr="00496B38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осуществляет прием документов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необходимых для участия в аукционе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до окончания срока приема заявок на участие в аукционе, установленного в извещении о проведении аукциона.</w:t>
            </w:r>
          </w:p>
          <w:p w:rsidR="0001072D" w:rsidRPr="00496B38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01072D" w:rsidRPr="00496B38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496B38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Прием документов прекращается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496B38" w:rsidRDefault="00637C9E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A019A3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A019A3" w:rsidRPr="00496B38" w:rsidRDefault="00A019A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496B38" w:rsidRDefault="00A019A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01072D" w:rsidRPr="00496B38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</w:t>
            </w:r>
            <w:r w:rsidR="00637C9E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документов (сведений) </w:t>
            </w:r>
          </w:p>
        </w:tc>
        <w:tc>
          <w:tcPr>
            <w:tcW w:w="3260" w:type="dxa"/>
          </w:tcPr>
          <w:p w:rsidR="0001072D" w:rsidRPr="00496B38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случае поступления заявок от заявителей юридических лиц и индивидуальных предпринимателей специалист направляет запрос в </w:t>
            </w:r>
            <w:r w:rsidR="00A22AF9" w:rsidRPr="00496B38">
              <w:rPr>
                <w:rFonts w:ascii="Times New Roman" w:hAnsi="Times New Roman" w:cs="Times New Roman"/>
                <w:sz w:val="20"/>
                <w:szCs w:val="20"/>
              </w:rPr>
              <w:t>инспекцию ФНС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получения сведений, подтверждающих факт внесения сведений о заявителе в единый государственный реестр юридических </w:t>
            </w:r>
            <w:proofErr w:type="gramStart"/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лиц  или</w:t>
            </w:r>
            <w:proofErr w:type="gramEnd"/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единый государственный реестр индивидуальных предпринимателей.</w:t>
            </w:r>
          </w:p>
          <w:p w:rsidR="0001072D" w:rsidRPr="00496B38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Заявители вправе самостоятельно представить </w:t>
            </w:r>
            <w:r w:rsidR="00A22AF9" w:rsidRPr="00496B38">
              <w:rPr>
                <w:rFonts w:ascii="Times New Roman" w:hAnsi="Times New Roman" w:cs="Times New Roman"/>
                <w:sz w:val="20"/>
                <w:szCs w:val="20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496B38" w:rsidRDefault="00A22AF9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 срок не превышающий 3 рабочих дней со дня поступления заявки</w:t>
            </w:r>
          </w:p>
        </w:tc>
        <w:tc>
          <w:tcPr>
            <w:tcW w:w="2126" w:type="dxa"/>
          </w:tcPr>
          <w:p w:rsidR="0001072D" w:rsidRPr="00496B38" w:rsidRDefault="00A22AF9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на рассмотрение заявления </w:t>
            </w:r>
          </w:p>
        </w:tc>
        <w:tc>
          <w:tcPr>
            <w:tcW w:w="2410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01072D" w:rsidRPr="00496B38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протокола рассмотрения заявок на участие в аукционе и размещение такого протокола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37AD" w:rsidRPr="00496B38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поступления заявок на участие в аукционе специалист осуществляет рассмотрение заявок.</w:t>
            </w:r>
          </w:p>
          <w:p w:rsidR="008A37AD" w:rsidRPr="00496B38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>Рассмотрение заявок оформляется протоколом рассмотрения заявок на участие в аукционе.</w:t>
            </w:r>
          </w:p>
          <w:p w:rsidR="008A37AD" w:rsidRPr="00496B38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>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      </w:r>
          </w:p>
          <w:p w:rsidR="00512DBC" w:rsidRPr="00496B38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>Протокол рассмотрения заявок на участие в аукционе подписывается главой администрации не позднее чем в течение одного дня со дня их рассмотрения</w:t>
            </w:r>
          </w:p>
          <w:p w:rsidR="0001072D" w:rsidRPr="00496B38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Протокол р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азмещается на официальном сайте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чем на следующий день после дня подписания протокола</w:t>
            </w:r>
          </w:p>
        </w:tc>
        <w:tc>
          <w:tcPr>
            <w:tcW w:w="1985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72D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1B383A" w:rsidRPr="00496B38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</w:t>
            </w:r>
          </w:p>
        </w:tc>
        <w:tc>
          <w:tcPr>
            <w:tcW w:w="3260" w:type="dxa"/>
          </w:tcPr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случае,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договора аренды земельного участка.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      </w:r>
          </w:p>
        </w:tc>
        <w:tc>
          <w:tcPr>
            <w:tcW w:w="1985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десяти дней со дня подписания протокола рассмотрения заявок на участие в аукционе</w:t>
            </w: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1B383A" w:rsidRPr="00496B38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проведение аукциона по продаже земельного участка или аукциона на право заключения договора аренды земельного участка;</w:t>
            </w:r>
          </w:p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заявителей, явившихся для участия в аукционе.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ходе проведения аукциона по продаже земельного участка или аукциона на право заключения договора аренды земельного участка определяется победитель аукциона.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 результатам аукциона по продаже земельного участка определяется цена такого земельного участка. 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Победителем аукциона признается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 аукциона, предложивший наибольшую цену за земельный участок или наибольший размер ежегодной арендной платы за земельный участок.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аукциона, предложивший наибольший размер первого арендного платежа.</w:t>
            </w:r>
          </w:p>
        </w:tc>
        <w:tc>
          <w:tcPr>
            <w:tcW w:w="1985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1B383A" w:rsidRPr="00496B38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 о результатах аукциона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Протокол о результатах аукциона составляется в двух экземплярах, один из которых передается победителю аукциона, а второй остается </w:t>
            </w:r>
            <w:proofErr w:type="gram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  администрации</w:t>
            </w:r>
            <w:proofErr w:type="gram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протоколе указываются: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а) сведения о месте, дате и времени проведения аукциона;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е)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первого арендного платежа).</w:t>
            </w:r>
          </w:p>
          <w:p w:rsidR="001B383A" w:rsidRPr="00496B38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Протокол о результатах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в течение одного рабочего дня со дня подписания данного протокола.</w:t>
            </w:r>
          </w:p>
          <w:p w:rsidR="001B383A" w:rsidRPr="00496B38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трех рабочих дней со дня подписания протокола о результатах аукциона администрация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возвращает задатки лицам, участвовавшим в аукционе, но не победившим в нем.</w:t>
            </w:r>
          </w:p>
        </w:tc>
        <w:tc>
          <w:tcPr>
            <w:tcW w:w="1985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83A" w:rsidRPr="00496B38" w:rsidTr="00033240">
        <w:tc>
          <w:tcPr>
            <w:tcW w:w="641" w:type="dxa"/>
          </w:tcPr>
          <w:p w:rsidR="001B383A" w:rsidRPr="00496B38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3260" w:type="dxa"/>
          </w:tcPr>
          <w:p w:rsidR="001B383A" w:rsidRPr="00496B38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направляет победителю аукциона три экземпляра подписанного проекта договора купли-продажи или проекта договора аренды земельного участка.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направляются также два экземпляра проекта договора о комплексном освоении территории, подписанного главой </w:t>
            </w:r>
            <w:r w:rsidR="00C63D97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администрации.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земельного участка заключается по цене, предложенной победителем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допускается заключение указанных договоров ранее чем через десять дней со дня размещения информации о результатах аукциона на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="00C63D97" w:rsidRPr="00496B38">
              <w:rPr>
                <w:rFonts w:ascii="Times New Roman" w:hAnsi="Times New Roman" w:cs="Times New Roman"/>
                <w:sz w:val="20"/>
                <w:szCs w:val="20"/>
              </w:rPr>
              <w:t>РФ.</w:t>
            </w:r>
          </w:p>
        </w:tc>
        <w:tc>
          <w:tcPr>
            <w:tcW w:w="1985" w:type="dxa"/>
          </w:tcPr>
          <w:p w:rsidR="001B383A" w:rsidRPr="00496B38" w:rsidRDefault="00C63D9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десятидневный срок со дня составления протокола о результатах аукциона</w:t>
            </w:r>
          </w:p>
        </w:tc>
        <w:tc>
          <w:tcPr>
            <w:tcW w:w="2126" w:type="dxa"/>
          </w:tcPr>
          <w:p w:rsidR="001B383A" w:rsidRPr="00496B38" w:rsidRDefault="00C63D9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уполномоченный на рассмотрение заявления</w:t>
            </w:r>
          </w:p>
        </w:tc>
        <w:tc>
          <w:tcPr>
            <w:tcW w:w="2410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496B38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496B38" w:rsidTr="009A473A">
        <w:tc>
          <w:tcPr>
            <w:tcW w:w="2376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918C9" w:rsidRPr="00496B38" w:rsidTr="009A473A">
        <w:tc>
          <w:tcPr>
            <w:tcW w:w="2376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18C9" w:rsidRPr="00496B38" w:rsidTr="008E5BC8">
        <w:tc>
          <w:tcPr>
            <w:tcW w:w="14993" w:type="dxa"/>
            <w:gridSpan w:val="7"/>
          </w:tcPr>
          <w:p w:rsidR="00473F62" w:rsidRPr="00496B38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9A473A" w:rsidRPr="00496B38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  <w:r w:rsidR="004860D1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5256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</w:p>
        </w:tc>
      </w:tr>
      <w:tr w:rsidR="009A473A" w:rsidRPr="00496B38" w:rsidTr="009A473A">
        <w:tc>
          <w:tcPr>
            <w:tcW w:w="2376" w:type="dxa"/>
          </w:tcPr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9A473A" w:rsidRPr="00496B38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496B3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45256" w:rsidRPr="00496B38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496B38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496B38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496B3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4A0A" w:rsidRPr="00496B38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473A" w:rsidRPr="00496B38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75FB" w:rsidRPr="00496B38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496B38" w:rsidSect="00496B3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775FB" w:rsidRPr="00496B3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ФОРМА ЗАЯВЛЕНИЯ О ПРОВЕДЕНИИ АУКЦИОНА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кому: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  <w:bookmarkStart w:id="1" w:name="_GoBack"/>
      <w:bookmarkEnd w:id="1"/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уполномоченного органа)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от кого: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(полное наименование, ИНН,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ОГРН юридического лица, ИП)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(контактный телефон, электронная почта,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      почтовый адрес)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(фамилия, имя, отчество (последнее -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при наличии), данные документа,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 удостоверяющего личность,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 контактный телефон, адрес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электронной почты, адрес регистрации,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адрес фактического проживания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   уполномоченного лица)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(данные представителя заявителя)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Заявление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об организации аукциона на право заключения договора аренды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или купли-продажи земельного участка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Прошу    организовать    аукцион    на    право   заключения   договора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аренды/купли-</w:t>
      </w:r>
      <w:proofErr w:type="gramStart"/>
      <w:r w:rsidRPr="00496B38">
        <w:rPr>
          <w:rFonts w:ascii="Times New Roman" w:hAnsi="Times New Roman" w:cs="Times New Roman"/>
          <w:sz w:val="20"/>
          <w:szCs w:val="20"/>
        </w:rPr>
        <w:t>продажи  земельного</w:t>
      </w:r>
      <w:proofErr w:type="gramEnd"/>
      <w:r w:rsidRPr="00496B38">
        <w:rPr>
          <w:rFonts w:ascii="Times New Roman" w:hAnsi="Times New Roman" w:cs="Times New Roman"/>
          <w:sz w:val="20"/>
          <w:szCs w:val="20"/>
        </w:rPr>
        <w:t xml:space="preserve">  участка  с целью использования земельного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участка ___________________________________________________________________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(цель использования земельного участка) </w:t>
      </w:r>
      <w:hyperlink w:anchor="Par310" w:history="1">
        <w:r w:rsidRPr="00496B38">
          <w:rPr>
            <w:rFonts w:ascii="Times New Roman" w:hAnsi="Times New Roman" w:cs="Times New Roman"/>
            <w:color w:val="0000FF"/>
            <w:sz w:val="20"/>
            <w:szCs w:val="20"/>
          </w:rPr>
          <w:t>&lt;3&gt;</w:t>
        </w:r>
      </w:hyperlink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Кадастровый номер земельного участка: 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Результат рассмотрения заявления прошу выдать (направить):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в виде бумажного документа, который Заявитель получает непосредственно при личном обращении;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Дата 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310"/>
      <w:bookmarkEnd w:id="2"/>
      <w:r w:rsidRPr="00496B38">
        <w:rPr>
          <w:rFonts w:ascii="Times New Roman" w:hAnsi="Times New Roman" w:cs="Times New Roman"/>
          <w:sz w:val="20"/>
          <w:szCs w:val="20"/>
        </w:rPr>
        <w:t xml:space="preserve">Подпись _______________ 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ФИО</w:t>
      </w:r>
    </w:p>
    <w:p w:rsidR="00F17035" w:rsidRPr="00496B38" w:rsidRDefault="00F17035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sectPr w:rsidR="00F17035" w:rsidRPr="00496B3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17" w:rsidRDefault="00870117" w:rsidP="00D328E5">
      <w:pPr>
        <w:spacing w:after="0" w:line="240" w:lineRule="auto"/>
      </w:pPr>
      <w:r>
        <w:separator/>
      </w:r>
    </w:p>
  </w:endnote>
  <w:endnote w:type="continuationSeparator" w:id="0">
    <w:p w:rsidR="00870117" w:rsidRDefault="0087011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17" w:rsidRDefault="00870117" w:rsidP="00D328E5">
      <w:pPr>
        <w:spacing w:after="0" w:line="240" w:lineRule="auto"/>
      </w:pPr>
      <w:r>
        <w:separator/>
      </w:r>
    </w:p>
  </w:footnote>
  <w:footnote w:type="continuationSeparator" w:id="0">
    <w:p w:rsidR="00870117" w:rsidRDefault="00870117" w:rsidP="00D328E5">
      <w:pPr>
        <w:spacing w:after="0" w:line="240" w:lineRule="auto"/>
      </w:pPr>
      <w:r>
        <w:continuationSeparator/>
      </w:r>
    </w:p>
  </w:footnote>
  <w:footnote w:id="1">
    <w:p w:rsidR="00496B38" w:rsidRPr="00A918C9" w:rsidRDefault="00496B38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96B38" w:rsidRPr="00A918C9" w:rsidRDefault="00496B38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t xml:space="preserve"> </w:t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3">
    <w:p w:rsidR="00496B38" w:rsidRPr="00A918C9" w:rsidRDefault="00496B38">
      <w:pPr>
        <w:pStyle w:val="ad"/>
      </w:pPr>
      <w:r w:rsidRPr="00A918C9">
        <w:rPr>
          <w:rStyle w:val="af"/>
        </w:rPr>
        <w:footnoteRef/>
      </w:r>
      <w:r w:rsidRPr="00A918C9">
        <w:t xml:space="preserve"> </w:t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4">
    <w:p w:rsidR="00496B38" w:rsidRPr="00A918C9" w:rsidRDefault="00496B38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5">
    <w:p w:rsidR="00496B38" w:rsidRDefault="00496B38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496B38" w:rsidRDefault="00496B38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96B38" w:rsidRPr="004B2B9C" w:rsidRDefault="00496B38">
      <w:pPr>
        <w:pStyle w:val="ad"/>
      </w:pPr>
      <w:r w:rsidRPr="004B2B9C">
        <w:rPr>
          <w:rStyle w:val="af"/>
        </w:rPr>
        <w:footnoteRef/>
      </w:r>
      <w:r w:rsidRPr="004B2B9C">
        <w:t xml:space="preserve"> </w:t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496B38" w:rsidRPr="004860D1" w:rsidRDefault="00496B38">
      <w:pPr>
        <w:pStyle w:val="ad"/>
      </w:pPr>
      <w:r w:rsidRPr="004860D1">
        <w:rPr>
          <w:rStyle w:val="af"/>
        </w:rPr>
        <w:footnoteRef/>
      </w:r>
      <w:r w:rsidRPr="004860D1">
        <w:t xml:space="preserve"> </w:t>
      </w:r>
      <w:r w:rsidRPr="004860D1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496B38" w:rsidRPr="004860D1" w:rsidRDefault="00496B38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4860D1">
        <w:rPr>
          <w:rFonts w:ascii="Times New Roman" w:hAnsi="Times New Roman" w:cs="Times New Roman"/>
        </w:rPr>
        <w:t>подуслуг</w:t>
      </w:r>
      <w:proofErr w:type="spellEnd"/>
      <w:r w:rsidRPr="004860D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3E2C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351BA"/>
    <w:rsid w:val="00343504"/>
    <w:rsid w:val="003517E9"/>
    <w:rsid w:val="003533BF"/>
    <w:rsid w:val="003579F2"/>
    <w:rsid w:val="00363BCB"/>
    <w:rsid w:val="00363EA3"/>
    <w:rsid w:val="003760D0"/>
    <w:rsid w:val="003A32DA"/>
    <w:rsid w:val="003B6302"/>
    <w:rsid w:val="003B65D5"/>
    <w:rsid w:val="003B7B6C"/>
    <w:rsid w:val="003C5387"/>
    <w:rsid w:val="003C6C75"/>
    <w:rsid w:val="003D7E9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96B38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4167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6F4C88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70117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B277B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03AA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4829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44F7F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075B8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B6A27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EADD"/>
  <w15:docId w15:val="{A58FBE5B-B579-4FF8-9B50-62F8D73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F307-308C-4A52-95D8-7A7E63E0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</Pages>
  <Words>6935</Words>
  <Characters>39532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Вера</cp:lastModifiedBy>
  <cp:revision>91</cp:revision>
  <cp:lastPrinted>2024-08-20T12:43:00Z</cp:lastPrinted>
  <dcterms:created xsi:type="dcterms:W3CDTF">2015-09-01T14:06:00Z</dcterms:created>
  <dcterms:modified xsi:type="dcterms:W3CDTF">2024-08-20T13:03:00Z</dcterms:modified>
</cp:coreProperties>
</file>