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6E" w:rsidRPr="00A3686E" w:rsidRDefault="00A3686E" w:rsidP="00B3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Приложение </w:t>
      </w:r>
      <w:r w:rsidR="0032347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Ковалёвского</w:t>
      </w:r>
      <w:proofErr w:type="spellEnd"/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 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от 00.00.2024г № 00-р</w:t>
      </w:r>
    </w:p>
    <w:p w:rsidR="00A3686E" w:rsidRDefault="00A3686E" w:rsidP="00A3686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3686E" w:rsidRDefault="00A3686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441BD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D5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A3686E" w:rsidRPr="00441BD5" w:rsidRDefault="00A3686E" w:rsidP="00A3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D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3686E" w:rsidRDefault="00A3686E" w:rsidP="00A36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D5">
        <w:rPr>
          <w:rFonts w:ascii="Times New Roman" w:hAnsi="Times New Roman" w:cs="Times New Roman"/>
          <w:b/>
          <w:sz w:val="24"/>
          <w:szCs w:val="24"/>
        </w:rPr>
        <w:t>«Предоставление информации об объектах учета из реестра муниципального имущества»</w:t>
      </w:r>
    </w:p>
    <w:p w:rsidR="00441BD5" w:rsidRPr="00441BD5" w:rsidRDefault="00441BD5" w:rsidP="00A36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57" w:rsidRPr="00441BD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441BD5" w:rsidTr="00033240">
        <w:tc>
          <w:tcPr>
            <w:tcW w:w="959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0481D" w:rsidRPr="00441BD5" w:rsidTr="00033240">
        <w:tc>
          <w:tcPr>
            <w:tcW w:w="959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41BD5" w:rsidRDefault="00A3686E" w:rsidP="00FE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FE2E8D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E752C6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441BD5" w:rsidRDefault="00B24E4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3640100010000384920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41BD5" w:rsidRDefault="00B24E42" w:rsidP="00B24E42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bCs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60481D" w:rsidRPr="00441BD5" w:rsidTr="00033240">
        <w:tc>
          <w:tcPr>
            <w:tcW w:w="959" w:type="dxa"/>
          </w:tcPr>
          <w:p w:rsidR="00C36BF4" w:rsidRPr="00441BD5" w:rsidRDefault="00C36BF4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C36BF4" w:rsidRPr="00441BD5" w:rsidRDefault="00C36B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441BD5" w:rsidRDefault="00C36BF4" w:rsidP="00B24E42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 xml:space="preserve">Предоставление </w:t>
            </w:r>
            <w:r w:rsidR="00B24E42" w:rsidRPr="00441BD5">
              <w:rPr>
                <w:sz w:val="20"/>
                <w:szCs w:val="20"/>
              </w:rPr>
              <w:t>информации</w:t>
            </w:r>
            <w:r w:rsidRPr="00441BD5">
              <w:rPr>
                <w:sz w:val="20"/>
                <w:szCs w:val="20"/>
              </w:rPr>
              <w:t xml:space="preserve"> из реестра муниципального имущества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60481D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083A57" w:rsidRPr="00441BD5" w:rsidRDefault="00A3686E" w:rsidP="00A3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Постановление  от 27.11.2023 г. №65 «</w:t>
            </w:r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>Ковалёвского</w:t>
            </w:r>
            <w:proofErr w:type="spellEnd"/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BD3B91" w:rsidRPr="00441BD5" w:rsidRDefault="00202B54" w:rsidP="00E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60481D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441BD5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083A57" w:rsidRPr="00441BD5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441B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441BD5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441BD5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BD28FA" w:rsidRPr="00441BD5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441BD5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441BD5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8D4067" w:rsidRPr="00441BD5" w:rsidRDefault="008D4067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441BD5">
        <w:rPr>
          <w:rFonts w:ascii="Times New Roman" w:hAnsi="Times New Roman" w:cs="Times New Roman"/>
          <w:sz w:val="20"/>
          <w:szCs w:val="20"/>
        </w:rPr>
        <w:br w:type="page"/>
      </w:r>
    </w:p>
    <w:p w:rsidR="00083A57" w:rsidRPr="00441BD5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441BD5" w:rsidTr="00E728F6">
        <w:tc>
          <w:tcPr>
            <w:tcW w:w="2801" w:type="dxa"/>
            <w:gridSpan w:val="2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441BD5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41BD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E752C6">
        <w:tc>
          <w:tcPr>
            <w:tcW w:w="1525" w:type="dxa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728F6" w:rsidRPr="00441BD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441BD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E728F6" w:rsidRPr="00441BD5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E728F6" w:rsidRPr="00441BD5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481D" w:rsidRPr="00441BD5" w:rsidTr="00E752C6">
        <w:tc>
          <w:tcPr>
            <w:tcW w:w="152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0481D" w:rsidRPr="00441BD5" w:rsidTr="00E728F6">
        <w:tc>
          <w:tcPr>
            <w:tcW w:w="14992" w:type="dxa"/>
            <w:gridSpan w:val="11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33240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E728F6">
        <w:tc>
          <w:tcPr>
            <w:tcW w:w="1525" w:type="dxa"/>
          </w:tcPr>
          <w:p w:rsidR="008F7586" w:rsidRPr="00441BD5" w:rsidRDefault="007D3E6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8F7586" w:rsidRPr="00441BD5" w:rsidRDefault="007D3E66" w:rsidP="005D1A1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418" w:type="dxa"/>
          </w:tcPr>
          <w:p w:rsidR="008F7586" w:rsidRPr="00441BD5" w:rsidRDefault="005D1A16" w:rsidP="003B7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8F7586" w:rsidRPr="00441BD5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8F7586" w:rsidRPr="00441BD5" w:rsidRDefault="008F758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911AE2" w:rsidRPr="00441BD5" w:rsidRDefault="008F7586" w:rsidP="0091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F7586" w:rsidRPr="00441BD5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1A16" w:rsidRPr="00441BD5" w:rsidRDefault="005D1A16" w:rsidP="005D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8F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1A16" w:rsidRPr="00441BD5" w:rsidRDefault="005D1A16" w:rsidP="005D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8F7586" w:rsidRPr="00441BD5" w:rsidRDefault="008F7586" w:rsidP="005E25FA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8F7586" w:rsidRPr="00441BD5" w:rsidRDefault="008F7586" w:rsidP="00094FA6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</w:t>
            </w:r>
            <w:r w:rsidR="00094FA6" w:rsidRPr="00441B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505D72" w:rsidRPr="00441BD5" w:rsidRDefault="00505D72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441BD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E7CAF" w:rsidRPr="00441BD5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441BD5" w:rsidTr="00B47A97">
        <w:tc>
          <w:tcPr>
            <w:tcW w:w="657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0481D" w:rsidRPr="00441BD5" w:rsidTr="00B47A97">
        <w:tc>
          <w:tcPr>
            <w:tcW w:w="657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481D" w:rsidRPr="00441BD5" w:rsidTr="00B47A97">
        <w:tc>
          <w:tcPr>
            <w:tcW w:w="14992" w:type="dxa"/>
            <w:gridSpan w:val="8"/>
          </w:tcPr>
          <w:p w:rsidR="00043FFA" w:rsidRPr="00441BD5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0B7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B47A97">
        <w:trPr>
          <w:trHeight w:val="643"/>
        </w:trPr>
        <w:tc>
          <w:tcPr>
            <w:tcW w:w="657" w:type="dxa"/>
            <w:vMerge w:val="restart"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441BD5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0481D" w:rsidRPr="00441BD5" w:rsidTr="0060481D">
        <w:trPr>
          <w:trHeight w:val="1480"/>
        </w:trPr>
        <w:tc>
          <w:tcPr>
            <w:tcW w:w="657" w:type="dxa"/>
            <w:vMerge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0481D" w:rsidRPr="00441BD5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481D" w:rsidRPr="00441BD5" w:rsidRDefault="0060481D" w:rsidP="003B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441BD5" w:rsidTr="005E25FA">
        <w:trPr>
          <w:trHeight w:val="2173"/>
        </w:trPr>
        <w:tc>
          <w:tcPr>
            <w:tcW w:w="657" w:type="dxa"/>
            <w:vMerge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0481D" w:rsidRPr="00441BD5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481D" w:rsidRPr="00441BD5" w:rsidRDefault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441BD5" w:rsidRDefault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0481D" w:rsidRPr="00441BD5" w:rsidTr="00B47A97">
        <w:tc>
          <w:tcPr>
            <w:tcW w:w="657" w:type="dxa"/>
            <w:vMerge w:val="restart"/>
          </w:tcPr>
          <w:p w:rsidR="00911AE2" w:rsidRPr="00441BD5" w:rsidRDefault="00911AE2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441BD5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право лица без доверенности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действовать от имени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юридического лица (копия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441BD5" w:rsidRDefault="00911AE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его избрании должна быть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заверена юридическим лицом,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содержать подпись должностного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лица, подготовившего документ,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составления документа;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информацию о праве физического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лица действовать от имени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441BD5" w:rsidRDefault="00911AE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911AE2" w:rsidRPr="00441BD5" w:rsidRDefault="003B630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911AE2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0481D" w:rsidRPr="00441BD5" w:rsidTr="00B47A97">
        <w:tc>
          <w:tcPr>
            <w:tcW w:w="657" w:type="dxa"/>
            <w:vMerge/>
          </w:tcPr>
          <w:p w:rsidR="00911AE2" w:rsidRPr="00441BD5" w:rsidRDefault="00911AE2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11AE2" w:rsidRPr="00441BD5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911AE2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11AE2" w:rsidRPr="00441BD5" w:rsidRDefault="003B630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6535" w:rsidRPr="00441BD5" w:rsidRDefault="003B630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043FFA" w:rsidRPr="00441BD5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441BD5" w:rsidTr="00033240">
        <w:tc>
          <w:tcPr>
            <w:tcW w:w="6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41BD5" w:rsidRDefault="00D31907" w:rsidP="00871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лучения</w:t>
            </w:r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необходимых экземпляров докумен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 с указанием </w:t>
            </w:r>
            <w:r w:rsidRPr="00441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441BD5" w:rsidRDefault="00C36BF4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документа/заполнения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документа</w:t>
            </w:r>
            <w:r w:rsidR="00094FA6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60481D" w:rsidRPr="00441BD5" w:rsidTr="00033240">
        <w:tc>
          <w:tcPr>
            <w:tcW w:w="6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481D" w:rsidRPr="00441BD5" w:rsidTr="00033240">
        <w:tc>
          <w:tcPr>
            <w:tcW w:w="15133" w:type="dxa"/>
            <w:gridSpan w:val="8"/>
          </w:tcPr>
          <w:p w:rsidR="00043FFA" w:rsidRPr="00441BD5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033240">
        <w:tc>
          <w:tcPr>
            <w:tcW w:w="651" w:type="dxa"/>
          </w:tcPr>
          <w:p w:rsidR="00043FFA" w:rsidRPr="00441BD5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441BD5" w:rsidRDefault="00E728F6" w:rsidP="008717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71706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сведений из реестра муниципального имущества</w:t>
            </w:r>
          </w:p>
        </w:tc>
        <w:tc>
          <w:tcPr>
            <w:tcW w:w="1842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  <w:r w:rsidR="0060481D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043FFA" w:rsidRPr="00441BD5" w:rsidRDefault="005D1A1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0481D" w:rsidRPr="00441BD5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</w:tr>
    </w:tbl>
    <w:p w:rsidR="00D31907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441BD5" w:rsidTr="00033240">
        <w:tc>
          <w:tcPr>
            <w:tcW w:w="1242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направляю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(ей)</w:t>
            </w:r>
            <w:r w:rsidR="008202EC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которого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(ой)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60481D" w:rsidRPr="00441BD5" w:rsidTr="00033240">
        <w:tc>
          <w:tcPr>
            <w:tcW w:w="1242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481D" w:rsidRPr="00441BD5" w:rsidTr="00033240">
        <w:tc>
          <w:tcPr>
            <w:tcW w:w="15112" w:type="dxa"/>
            <w:gridSpan w:val="9"/>
          </w:tcPr>
          <w:p w:rsidR="00D31907" w:rsidRPr="00441BD5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A17942" w:rsidRPr="00441BD5" w:rsidTr="00033240">
        <w:tc>
          <w:tcPr>
            <w:tcW w:w="1242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26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лиц;</w:t>
            </w:r>
          </w:p>
        </w:tc>
        <w:tc>
          <w:tcPr>
            <w:tcW w:w="2126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лиц;</w:t>
            </w:r>
          </w:p>
        </w:tc>
        <w:tc>
          <w:tcPr>
            <w:tcW w:w="1843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3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A17942" w:rsidRPr="00441BD5" w:rsidTr="00033240">
        <w:tc>
          <w:tcPr>
            <w:tcW w:w="1242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естра индивидуальных предпринимателей</w:t>
            </w:r>
          </w:p>
        </w:tc>
        <w:tc>
          <w:tcPr>
            <w:tcW w:w="2126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из Единого государственного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1843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предоставляющий услугу</w:t>
            </w:r>
          </w:p>
        </w:tc>
        <w:tc>
          <w:tcPr>
            <w:tcW w:w="1909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</w:t>
            </w:r>
            <w:r w:rsidRPr="00441BD5">
              <w:rPr>
                <w:rFonts w:ascii="Times New Roman" w:hAnsi="Times New Roman"/>
                <w:sz w:val="20"/>
                <w:szCs w:val="20"/>
              </w:rPr>
              <w:lastRenderedPageBreak/>
              <w:t>службы по Воронежской области</w:t>
            </w:r>
          </w:p>
        </w:tc>
        <w:tc>
          <w:tcPr>
            <w:tcW w:w="120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  <w:r w:rsidR="00094FA6" w:rsidRPr="00441BD5">
        <w:rPr>
          <w:rStyle w:val="af"/>
          <w:rFonts w:ascii="Times New Roman" w:hAnsi="Times New Roman" w:cs="Times New Roman"/>
          <w:color w:val="auto"/>
          <w:sz w:val="20"/>
          <w:szCs w:val="20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441BD5" w:rsidTr="00033240">
        <w:tc>
          <w:tcPr>
            <w:tcW w:w="534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033240">
        <w:tc>
          <w:tcPr>
            <w:tcW w:w="534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60481D" w:rsidRPr="00441BD5" w:rsidTr="00033240">
        <w:tc>
          <w:tcPr>
            <w:tcW w:w="534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481D" w:rsidRPr="00441BD5" w:rsidTr="00033240">
        <w:tc>
          <w:tcPr>
            <w:tcW w:w="15113" w:type="dxa"/>
            <w:gridSpan w:val="9"/>
          </w:tcPr>
          <w:p w:rsidR="004F2A4B" w:rsidRPr="00441BD5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98616A" w:rsidRPr="00441BD5" w:rsidTr="00033240">
        <w:tc>
          <w:tcPr>
            <w:tcW w:w="534" w:type="dxa"/>
          </w:tcPr>
          <w:p w:rsidR="0098616A" w:rsidRPr="00441BD5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616A" w:rsidRPr="00441BD5" w:rsidRDefault="0098616A" w:rsidP="00A62853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 xml:space="preserve">выписка из реестра муниципального имущества </w:t>
            </w:r>
          </w:p>
        </w:tc>
        <w:tc>
          <w:tcPr>
            <w:tcW w:w="2273" w:type="dxa"/>
          </w:tcPr>
          <w:p w:rsidR="0098616A" w:rsidRPr="00441BD5" w:rsidRDefault="0098616A" w:rsidP="00986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2</w:t>
            </w:r>
          </w:p>
        </w:tc>
        <w:tc>
          <w:tcPr>
            <w:tcW w:w="1559" w:type="dxa"/>
          </w:tcPr>
          <w:p w:rsidR="0098616A" w:rsidRPr="00441BD5" w:rsidRDefault="0098616A" w:rsidP="00631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</w:tcPr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6A" w:rsidRPr="00441BD5" w:rsidTr="00033240">
        <w:tc>
          <w:tcPr>
            <w:tcW w:w="534" w:type="dxa"/>
          </w:tcPr>
          <w:p w:rsidR="0098616A" w:rsidRPr="00441BD5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616A" w:rsidRPr="00441BD5" w:rsidRDefault="0098616A" w:rsidP="00A62853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98616A" w:rsidRPr="00441BD5" w:rsidRDefault="0098616A" w:rsidP="00986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559" w:type="dxa"/>
          </w:tcPr>
          <w:p w:rsidR="0098616A" w:rsidRPr="00441BD5" w:rsidRDefault="0098616A" w:rsidP="00B8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</w:tcPr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8616A" w:rsidRPr="00441BD5" w:rsidRDefault="0098616A" w:rsidP="00852C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41BD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585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441BD5" w:rsidTr="00033240">
        <w:tc>
          <w:tcPr>
            <w:tcW w:w="641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852C2C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26" w:type="dxa"/>
          </w:tcPr>
          <w:p w:rsidR="00A83585" w:rsidRPr="00441BD5" w:rsidRDefault="00A83585" w:rsidP="00547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98616A" w:rsidRPr="00441BD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60481D" w:rsidRPr="00441BD5" w:rsidTr="00033240">
        <w:tc>
          <w:tcPr>
            <w:tcW w:w="641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A83585" w:rsidRPr="00441BD5" w:rsidRDefault="00981663" w:rsidP="00547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47416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0E5FA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202B54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E3767E" w:rsidRPr="00441BD5" w:rsidRDefault="003533BF" w:rsidP="0051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</w:t>
            </w:r>
            <w:r w:rsidR="00E0630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24B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60481D" w:rsidRPr="00441BD5" w:rsidTr="00033240">
        <w:tc>
          <w:tcPr>
            <w:tcW w:w="641" w:type="dxa"/>
          </w:tcPr>
          <w:p w:rsidR="007943CD" w:rsidRPr="00441BD5" w:rsidRDefault="007943C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</w:tc>
        <w:tc>
          <w:tcPr>
            <w:tcW w:w="1985" w:type="dxa"/>
            <w:vMerge w:val="restart"/>
          </w:tcPr>
          <w:p w:rsidR="007943CD" w:rsidRPr="00441BD5" w:rsidRDefault="007943CD" w:rsidP="007D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D3E66" w:rsidRPr="00441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43CD" w:rsidRPr="00441BD5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МФЦ;</w:t>
            </w:r>
          </w:p>
          <w:p w:rsidR="007943CD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-специалист,</w:t>
            </w:r>
            <w:r w:rsidR="007943CD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  <w:p w:rsidR="007943CD" w:rsidRPr="00441BD5" w:rsidRDefault="007943CD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8616A" w:rsidRPr="00441BD5" w:rsidRDefault="0098616A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журнал регистрации</w:t>
            </w:r>
          </w:p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3CD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60481D" w:rsidRPr="00441BD5" w:rsidTr="00033240">
        <w:tc>
          <w:tcPr>
            <w:tcW w:w="641" w:type="dxa"/>
          </w:tcPr>
          <w:p w:rsidR="007943CD" w:rsidRPr="00441BD5" w:rsidRDefault="007943C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заявление. </w:t>
            </w:r>
          </w:p>
          <w:p w:rsidR="007943CD" w:rsidRPr="00441BD5" w:rsidRDefault="007943CD" w:rsidP="0079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</w:tcPr>
          <w:p w:rsidR="007943CD" w:rsidRPr="00441BD5" w:rsidRDefault="007943CD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E3767E" w:rsidRPr="00441BD5" w:rsidRDefault="003533BF" w:rsidP="000E5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0E5FA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24B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441BD5" w:rsidTr="00033240">
        <w:tc>
          <w:tcPr>
            <w:tcW w:w="641" w:type="dxa"/>
          </w:tcPr>
          <w:p w:rsidR="004936C0" w:rsidRPr="00441BD5" w:rsidRDefault="004936C0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3260" w:type="dxa"/>
          </w:tcPr>
          <w:p w:rsidR="004936C0" w:rsidRPr="00441BD5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лицу.</w:t>
            </w:r>
          </w:p>
        </w:tc>
        <w:tc>
          <w:tcPr>
            <w:tcW w:w="1985" w:type="dxa"/>
            <w:vMerge w:val="restart"/>
          </w:tcPr>
          <w:p w:rsidR="004936C0" w:rsidRPr="00441BD5" w:rsidRDefault="007D3E66" w:rsidP="00A1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4936C0" w:rsidRPr="00441BD5" w:rsidRDefault="004936C0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специалистом администрации, ответственным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C0" w:rsidRPr="00441BD5" w:rsidTr="00033240">
        <w:tc>
          <w:tcPr>
            <w:tcW w:w="641" w:type="dxa"/>
          </w:tcPr>
          <w:p w:rsidR="004936C0" w:rsidRPr="00441BD5" w:rsidRDefault="004936C0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</w:t>
            </w:r>
          </w:p>
        </w:tc>
        <w:tc>
          <w:tcPr>
            <w:tcW w:w="3260" w:type="dxa"/>
          </w:tcPr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подписания выписка либо сообщение об отсутствии объекта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4936C0" w:rsidRPr="00441BD5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4936C0" w:rsidRPr="00441BD5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</w:tcPr>
          <w:p w:rsidR="004936C0" w:rsidRPr="00441BD5" w:rsidRDefault="004936C0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специалистом администрации, ответ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ственным за предоставление сведений из реестра муниципального имущества, специалист МФЦ, ответственный за выдачу документов</w:t>
            </w:r>
          </w:p>
        </w:tc>
        <w:tc>
          <w:tcPr>
            <w:tcW w:w="2410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6A" w:rsidRPr="00441BD5" w:rsidTr="00052A0C">
        <w:tc>
          <w:tcPr>
            <w:tcW w:w="14992" w:type="dxa"/>
            <w:gridSpan w:val="7"/>
          </w:tcPr>
          <w:p w:rsidR="0098616A" w:rsidRPr="00441BD5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441BD5" w:rsidTr="00033240">
        <w:tc>
          <w:tcPr>
            <w:tcW w:w="641" w:type="dxa"/>
          </w:tcPr>
          <w:p w:rsidR="0098616A" w:rsidRPr="00441BD5" w:rsidRDefault="00F2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441BD5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результатом услуги, выдается (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направля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одним из способов, указанным в заявле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  <w:p w:rsidR="0098616A" w:rsidRPr="00441BD5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аявитель информируется о принятом решении в установленном порядке </w:t>
            </w:r>
          </w:p>
        </w:tc>
        <w:tc>
          <w:tcPr>
            <w:tcW w:w="1985" w:type="dxa"/>
          </w:tcPr>
          <w:p w:rsidR="0098616A" w:rsidRPr="00441BD5" w:rsidRDefault="00F2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кален. </w:t>
            </w:r>
            <w:proofErr w:type="spellStart"/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441BD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B41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заявителем информации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сроках и порядке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записи на прием в ор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ган, МФЦ для подачи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формиро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вания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441BD5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приема и регистрации ор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ганом, предоставляющим услугу,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441BD5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оплаты государственной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пошлины за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получения сведений о ходе выполнения запроса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подачи жалобы на нарушение порядка предостав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441BD5" w:rsidRDefault="009A473A" w:rsidP="008E5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0481D" w:rsidRPr="00441BD5" w:rsidTr="008E5BC8">
        <w:tc>
          <w:tcPr>
            <w:tcW w:w="14993" w:type="dxa"/>
            <w:gridSpan w:val="7"/>
          </w:tcPr>
          <w:p w:rsidR="009A473A" w:rsidRPr="00441BD5" w:rsidRDefault="009A473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A45256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202B54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A473A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473A" w:rsidRPr="00441BD5" w:rsidRDefault="00F235C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441BD5" w:rsidRDefault="00A4525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441BD5" w:rsidRDefault="00A45256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45256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441BD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BF4" w:rsidRPr="00441BD5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75FB" w:rsidRPr="00441BD5" w:rsidRDefault="007775FB" w:rsidP="00B34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775FB" w:rsidRPr="00441BD5" w:rsidSect="00B3429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441BD5" w:rsidRDefault="007775FB" w:rsidP="00B34291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B34291" w:rsidRDefault="00EF7145" w:rsidP="00E728F6">
      <w:pPr>
        <w:pStyle w:val="ConsPlusNormal"/>
        <w:jc w:val="right"/>
        <w:rPr>
          <w:sz w:val="20"/>
          <w:szCs w:val="20"/>
        </w:rPr>
      </w:pPr>
      <w:r w:rsidRPr="00441BD5">
        <w:rPr>
          <w:sz w:val="20"/>
          <w:szCs w:val="20"/>
        </w:rPr>
        <w:t xml:space="preserve"> </w:t>
      </w:r>
    </w:p>
    <w:p w:rsidR="00E728F6" w:rsidRPr="00441BD5" w:rsidRDefault="00E728F6" w:rsidP="00E728F6">
      <w:pPr>
        <w:pStyle w:val="ConsPlusNormal"/>
        <w:jc w:val="right"/>
        <w:rPr>
          <w:sz w:val="20"/>
          <w:szCs w:val="20"/>
        </w:rPr>
      </w:pPr>
      <w:r w:rsidRPr="00441BD5">
        <w:rPr>
          <w:sz w:val="20"/>
          <w:szCs w:val="20"/>
        </w:rPr>
        <w:t>Форма заявления</w:t>
      </w:r>
    </w:p>
    <w:p w:rsidR="00B34291" w:rsidRDefault="00B34291" w:rsidP="00441BD5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441BD5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__________________сельского поселения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______________муниципального района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паспортные данные, адрес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заявителя)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 нахождения юридического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Ф.И.О. руководителя)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сведений из реестра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 предоставить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сведения  о  наличии  либо  отсутствии  в  реестре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объекта)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(место нахождения объекта)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(характеристики, идентифицирующие объект)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       принятом       решении       прошу      информировать      меня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(указывается способ информирования)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 20__ г.                               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22032D" w:rsidRPr="00441BD5" w:rsidRDefault="002203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2032D" w:rsidRPr="00441BD5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>Приложение 2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РЕЕСТРА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 «__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_»   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 20___ г.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Объект права: 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Адрес: 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права: 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Вид права: 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Балансодержатель: 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Краткая характеристика объекта: 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Площадь: 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Документы-основания: 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уполномоченного должностного лица </w:t>
      </w:r>
    </w:p>
    <w:p w:rsidR="0022032D" w:rsidRPr="00441BD5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B3429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81" w:rsidRDefault="00157A81" w:rsidP="00D328E5">
      <w:pPr>
        <w:spacing w:after="0" w:line="240" w:lineRule="auto"/>
      </w:pPr>
      <w:r>
        <w:separator/>
      </w:r>
    </w:p>
  </w:endnote>
  <w:endnote w:type="continuationSeparator" w:id="0">
    <w:p w:rsidR="00157A81" w:rsidRDefault="00157A8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81" w:rsidRDefault="00157A81" w:rsidP="00D328E5">
      <w:pPr>
        <w:spacing w:after="0" w:line="240" w:lineRule="auto"/>
      </w:pPr>
      <w:r>
        <w:separator/>
      </w:r>
    </w:p>
  </w:footnote>
  <w:footnote w:type="continuationSeparator" w:id="0">
    <w:p w:rsidR="00157A81" w:rsidRDefault="00157A81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F4B86"/>
    <w:rsid w:val="001154C7"/>
    <w:rsid w:val="00125DE2"/>
    <w:rsid w:val="001412EF"/>
    <w:rsid w:val="00143098"/>
    <w:rsid w:val="00157A81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347C"/>
    <w:rsid w:val="00343504"/>
    <w:rsid w:val="00346217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41BD5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22F2A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D3E66"/>
    <w:rsid w:val="007E5B50"/>
    <w:rsid w:val="007E7B24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962A9"/>
    <w:rsid w:val="009A473A"/>
    <w:rsid w:val="009F148E"/>
    <w:rsid w:val="00A019A3"/>
    <w:rsid w:val="00A0710F"/>
    <w:rsid w:val="00A136D7"/>
    <w:rsid w:val="00A17942"/>
    <w:rsid w:val="00A17B13"/>
    <w:rsid w:val="00A20703"/>
    <w:rsid w:val="00A3686E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4E42"/>
    <w:rsid w:val="00B3429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4703F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0FE5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ADBF"/>
  <w15:docId w15:val="{7E5ACFD1-B276-4AF0-8CD7-ED215DBD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EF45-894F-4115-872C-2329E599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Вера</cp:lastModifiedBy>
  <cp:revision>65</cp:revision>
  <cp:lastPrinted>2024-08-20T13:30:00Z</cp:lastPrinted>
  <dcterms:created xsi:type="dcterms:W3CDTF">2015-09-01T14:06:00Z</dcterms:created>
  <dcterms:modified xsi:type="dcterms:W3CDTF">2024-08-20T13:32:00Z</dcterms:modified>
</cp:coreProperties>
</file>